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E00058" w14:textId="77777777" w:rsidR="00832A1F" w:rsidRPr="002A5910" w:rsidRDefault="006E1674">
      <w:pPr>
        <w:rPr>
          <w:b/>
          <w:u w:val="single"/>
        </w:rPr>
      </w:pPr>
      <w:r w:rsidRPr="002A5910">
        <w:rPr>
          <w:b/>
          <w:u w:val="single"/>
        </w:rPr>
        <w:t>An ethical approach to interpreting disability and difference</w:t>
      </w:r>
    </w:p>
    <w:p w14:paraId="6C79F9EC" w14:textId="77777777" w:rsidR="006E1674" w:rsidRDefault="006E1674"/>
    <w:p w14:paraId="1E75B74A" w14:textId="77777777" w:rsidR="006E1674" w:rsidRDefault="006E1674">
      <w:r>
        <w:t>Guidance from a collaboration between Wellcome Collection and the Research Centre for Museums and Galleries, University of Leicester</w:t>
      </w:r>
    </w:p>
    <w:p w14:paraId="250562BB" w14:textId="77777777" w:rsidR="006E1674" w:rsidRDefault="006E1674"/>
    <w:p w14:paraId="5AA97966" w14:textId="77777777" w:rsidR="006E1674" w:rsidRPr="00DA2386" w:rsidRDefault="006E1674">
      <w:pPr>
        <w:rPr>
          <w:b/>
        </w:rPr>
      </w:pPr>
      <w:r w:rsidRPr="00DA2386">
        <w:rPr>
          <w:b/>
        </w:rPr>
        <w:t xml:space="preserve">Why </w:t>
      </w:r>
      <w:r w:rsidR="003E3174" w:rsidRPr="00DA2386">
        <w:rPr>
          <w:b/>
        </w:rPr>
        <w:t>a new approach is needed</w:t>
      </w:r>
    </w:p>
    <w:p w14:paraId="32A31340" w14:textId="77777777" w:rsidR="003E3174" w:rsidRDefault="003E3174"/>
    <w:p w14:paraId="352645E2" w14:textId="2F2482AF" w:rsidR="006E1674" w:rsidRDefault="006E1674">
      <w:r>
        <w:t xml:space="preserve">International museum thinking and practice has come to be </w:t>
      </w:r>
      <w:proofErr w:type="spellStart"/>
      <w:r>
        <w:t>characteri</w:t>
      </w:r>
      <w:r w:rsidR="00AA1F95">
        <w:t>s</w:t>
      </w:r>
      <w:r>
        <w:t>ed</w:t>
      </w:r>
      <w:proofErr w:type="spellEnd"/>
      <w:r>
        <w:t xml:space="preserve"> by a desire to create inclusive narratives that draw on the cultures and contributions of previously </w:t>
      </w:r>
      <w:proofErr w:type="spellStart"/>
      <w:r>
        <w:t>marginali</w:t>
      </w:r>
      <w:r w:rsidR="00AA1F95">
        <w:t>s</w:t>
      </w:r>
      <w:r>
        <w:t>ed</w:t>
      </w:r>
      <w:proofErr w:type="spellEnd"/>
      <w:r>
        <w:t xml:space="preserve"> or excluded groups. However, disabled people – sometimes referred to as the world’s largest minority – remain underrepresented, sometimes entirely invisible, within most institutions’ exhibitions, displays and public programmes (RCMG 2004, 2008; Dodd, Sandell and Garland-Thomson 2010; Sandell 2019). Where they do appear,</w:t>
      </w:r>
      <w:r w:rsidR="00D638DC">
        <w:t xml:space="preserve"> </w:t>
      </w:r>
      <w:bookmarkStart w:id="0" w:name="_GoBack"/>
      <w:bookmarkEnd w:id="0"/>
      <w:r>
        <w:t>they are often portrayed in ways that reflect deeply-held, negative attitudes towards physical and mental difference that sit uncomfortably with 21</w:t>
      </w:r>
      <w:r w:rsidRPr="006E1674">
        <w:rPr>
          <w:vertAlign w:val="superscript"/>
        </w:rPr>
        <w:t>st</w:t>
      </w:r>
      <w:r>
        <w:t xml:space="preserve"> century approaches to disability rights, equality and respect for all (Sandell 2019). </w:t>
      </w:r>
    </w:p>
    <w:p w14:paraId="1853BB75" w14:textId="77777777" w:rsidR="006E1674" w:rsidRDefault="006E1674"/>
    <w:p w14:paraId="5F4B2E80" w14:textId="5EE98418" w:rsidR="006E1674" w:rsidRDefault="00373EFD">
      <w:r>
        <w:t>What is</w:t>
      </w:r>
      <w:r w:rsidR="003E3174">
        <w:t xml:space="preserve"> clear</w:t>
      </w:r>
      <w:r>
        <w:t xml:space="preserve"> is that</w:t>
      </w:r>
      <w:r w:rsidR="00750283">
        <w:t xml:space="preserve"> </w:t>
      </w:r>
      <w:r w:rsidR="006E1674">
        <w:t xml:space="preserve">museums have enormous, largely untapped potential to reframe the ways in which people view disability. </w:t>
      </w:r>
      <w:r>
        <w:t>Museums can</w:t>
      </w:r>
      <w:r w:rsidR="006E1674">
        <w:t xml:space="preserve"> shape the ways in which we see the world and communicate our values –influencing</w:t>
      </w:r>
      <w:r w:rsidR="003E3174">
        <w:t xml:space="preserve"> and informing</w:t>
      </w:r>
      <w:r w:rsidR="006E1674">
        <w:t xml:space="preserve"> the kinds of conversations society has about difference (Sandell 2007; Dodd, Sandell and Garland-Thomson 2010).</w:t>
      </w:r>
    </w:p>
    <w:p w14:paraId="6243CAC6" w14:textId="77777777" w:rsidR="006E1674" w:rsidRDefault="006E1674"/>
    <w:p w14:paraId="6A3DCF1E" w14:textId="603F9075" w:rsidR="00DA2386" w:rsidRDefault="00DA2386">
      <w:pPr>
        <w:rPr>
          <w:b/>
        </w:rPr>
      </w:pPr>
      <w:r w:rsidRPr="00DA2386">
        <w:rPr>
          <w:b/>
        </w:rPr>
        <w:t xml:space="preserve">An alternative way forward </w:t>
      </w:r>
    </w:p>
    <w:p w14:paraId="0195BB30" w14:textId="77777777" w:rsidR="00DA2386" w:rsidRPr="00DA2386" w:rsidRDefault="00DA2386">
      <w:pPr>
        <w:rPr>
          <w:b/>
        </w:rPr>
      </w:pPr>
    </w:p>
    <w:p w14:paraId="5DC70BCF" w14:textId="3F7D74DF" w:rsidR="00750283" w:rsidRDefault="006E1674">
      <w:r>
        <w:t xml:space="preserve">A recent research collaboration between Wellcome Collection and RCMG </w:t>
      </w:r>
      <w:r w:rsidR="00DA2386">
        <w:t>offers</w:t>
      </w:r>
      <w:r w:rsidR="00750283">
        <w:t xml:space="preserve"> a fresh perspective on what a progressive (ethical, inclusive, rights-based) museum might offer its visitors. </w:t>
      </w:r>
      <w:r w:rsidR="00410725">
        <w:t>Inspired by what has come to be widely referred to as the social model of disability</w:t>
      </w:r>
      <w:r w:rsidR="00DA2386">
        <w:t>,</w:t>
      </w:r>
      <w:r w:rsidR="00410725">
        <w:t xml:space="preserve"> Wellcome Collection’s new permanent gallery </w:t>
      </w:r>
      <w:r w:rsidR="00410725" w:rsidRPr="00410725">
        <w:rPr>
          <w:i/>
        </w:rPr>
        <w:t>Being Human</w:t>
      </w:r>
      <w:r w:rsidR="00410725">
        <w:t xml:space="preserve"> </w:t>
      </w:r>
      <w:r w:rsidR="00DA2386">
        <w:t>draws together diverse perspectives and personal stories from artists, activists, clinicians and rese</w:t>
      </w:r>
      <w:r w:rsidR="00373EFD">
        <w:t>archers. The development of the gallery</w:t>
      </w:r>
      <w:r w:rsidR="00DA2386">
        <w:t xml:space="preserve"> </w:t>
      </w:r>
      <w:r w:rsidR="00410725">
        <w:t xml:space="preserve">explored how curatorial and interpretive practice could create </w:t>
      </w:r>
      <w:r w:rsidR="00373EFD">
        <w:t>authentic</w:t>
      </w:r>
      <w:r w:rsidR="00410725">
        <w:t xml:space="preserve"> portrayals of physical and mental difference and disabled people’s lives.</w:t>
      </w:r>
    </w:p>
    <w:p w14:paraId="381CE409" w14:textId="77777777" w:rsidR="00410725" w:rsidRDefault="00410725"/>
    <w:p w14:paraId="4764ECF5" w14:textId="4AF954EB" w:rsidR="004F5BEE" w:rsidRDefault="00410725">
      <w:r>
        <w:t xml:space="preserve">The social model, originated by Mike Oliver, has been widely </w:t>
      </w:r>
      <w:proofErr w:type="spellStart"/>
      <w:r>
        <w:t>recogni</w:t>
      </w:r>
      <w:r w:rsidR="00095642">
        <w:t>s</w:t>
      </w:r>
      <w:r>
        <w:t>ed</w:t>
      </w:r>
      <w:proofErr w:type="spellEnd"/>
      <w:r>
        <w:t xml:space="preserve"> as a key conceptual tool for the advancement of the rights of disabled people. Rejecting an individualist, </w:t>
      </w:r>
      <w:proofErr w:type="spellStart"/>
      <w:r>
        <w:t>medicalised</w:t>
      </w:r>
      <w:proofErr w:type="spellEnd"/>
      <w:r>
        <w:t xml:space="preserve"> understanding of disability it instead locates the issue (and the need for action</w:t>
      </w:r>
      <w:r w:rsidR="004F5BEE">
        <w:t>) not with the individual (and their impairment) but with society and the barriers which restrict and oppress disabled people.</w:t>
      </w:r>
      <w:r w:rsidR="00247F57">
        <w:rPr>
          <w:rStyle w:val="EndnoteReference"/>
        </w:rPr>
        <w:endnoteReference w:id="1"/>
      </w:r>
      <w:r w:rsidR="004F5BEE">
        <w:t xml:space="preserve"> </w:t>
      </w:r>
      <w:r w:rsidR="00FC41B8">
        <w:t xml:space="preserve">The guidance re-produced here was informed by this principle and used to shape both the content (the objects that were selected) and the interpretive approaches of </w:t>
      </w:r>
      <w:r w:rsidR="00FC41B8" w:rsidRPr="00FC41B8">
        <w:rPr>
          <w:i/>
        </w:rPr>
        <w:t>Being Human</w:t>
      </w:r>
      <w:r w:rsidR="00FC41B8">
        <w:t xml:space="preserve"> – which opened in September 2019. </w:t>
      </w:r>
    </w:p>
    <w:p w14:paraId="05E35BFB" w14:textId="77777777" w:rsidR="004F5BEE" w:rsidRDefault="004F5BEE"/>
    <w:p w14:paraId="7E4C7203" w14:textId="44A9CAED" w:rsidR="00FC41B8" w:rsidRDefault="00FC41B8">
      <w:r>
        <w:t xml:space="preserve">This guidance can be used </w:t>
      </w:r>
      <w:r w:rsidR="00FB7F9D">
        <w:t xml:space="preserve">as a starting point </w:t>
      </w:r>
      <w:r>
        <w:t>by museums of all kinds to address the invisibility and unethical interpretation of disability and disabled people.</w:t>
      </w:r>
      <w:r w:rsidR="00FB7F9D">
        <w:t xml:space="preserve"> </w:t>
      </w:r>
    </w:p>
    <w:p w14:paraId="35B75EE3" w14:textId="77777777" w:rsidR="00AB6BF7" w:rsidRDefault="00AB6BF7"/>
    <w:p w14:paraId="111DB2E8" w14:textId="512642B1" w:rsidR="00D638DC" w:rsidRDefault="00D638DC" w:rsidP="00D638DC">
      <w:pPr>
        <w:rPr>
          <w:rFonts w:eastAsia="Times New Roman"/>
        </w:rPr>
      </w:pPr>
      <w:r>
        <w:rPr>
          <w:rFonts w:eastAsia="Times New Roman"/>
        </w:rPr>
        <w:lastRenderedPageBreak/>
        <w:t>Here we consider the main issues with the ways in which disability and difference have been interpreted in many medical museums and offer guidance on how these might be addressed.</w:t>
      </w:r>
    </w:p>
    <w:p w14:paraId="43D95F9C" w14:textId="77777777" w:rsidR="00D638DC" w:rsidRDefault="00D638DC" w:rsidP="00D638DC">
      <w:pPr>
        <w:rPr>
          <w:rFonts w:eastAsia="Times New Roman"/>
        </w:rPr>
      </w:pPr>
    </w:p>
    <w:tbl>
      <w:tblPr>
        <w:tblStyle w:val="TableGrid"/>
        <w:tblW w:w="0" w:type="auto"/>
        <w:tblInd w:w="0" w:type="dxa"/>
        <w:tblLook w:val="04A0" w:firstRow="1" w:lastRow="0" w:firstColumn="1" w:lastColumn="0" w:noHBand="0" w:noVBand="1"/>
      </w:tblPr>
      <w:tblGrid>
        <w:gridCol w:w="4137"/>
        <w:gridCol w:w="4153"/>
      </w:tblGrid>
      <w:tr w:rsidR="00D638DC" w14:paraId="0FA32411" w14:textId="77777777" w:rsidTr="00D638DC">
        <w:tc>
          <w:tcPr>
            <w:tcW w:w="4508" w:type="dxa"/>
            <w:tcBorders>
              <w:top w:val="single" w:sz="4" w:space="0" w:color="auto"/>
              <w:left w:val="single" w:sz="4" w:space="0" w:color="auto"/>
              <w:bottom w:val="single" w:sz="4" w:space="0" w:color="auto"/>
              <w:right w:val="single" w:sz="4" w:space="0" w:color="auto"/>
            </w:tcBorders>
            <w:hideMark/>
          </w:tcPr>
          <w:p w14:paraId="3B6533AA" w14:textId="77777777" w:rsidR="00D638DC" w:rsidRDefault="00D638DC">
            <w:pPr>
              <w:rPr>
                <w:b/>
                <w:sz w:val="24"/>
                <w:szCs w:val="24"/>
                <w:u w:val="single"/>
              </w:rPr>
            </w:pPr>
            <w:r>
              <w:rPr>
                <w:b/>
                <w:sz w:val="24"/>
                <w:szCs w:val="24"/>
                <w:u w:val="single"/>
              </w:rPr>
              <w:t>Medicalised approaches to interpreting disability</w:t>
            </w:r>
          </w:p>
        </w:tc>
        <w:tc>
          <w:tcPr>
            <w:tcW w:w="4508" w:type="dxa"/>
            <w:tcBorders>
              <w:top w:val="single" w:sz="4" w:space="0" w:color="auto"/>
              <w:left w:val="single" w:sz="4" w:space="0" w:color="auto"/>
              <w:bottom w:val="single" w:sz="4" w:space="0" w:color="auto"/>
              <w:right w:val="single" w:sz="4" w:space="0" w:color="auto"/>
            </w:tcBorders>
            <w:hideMark/>
          </w:tcPr>
          <w:p w14:paraId="347BE23E" w14:textId="77777777" w:rsidR="00D638DC" w:rsidRDefault="00D638DC">
            <w:pPr>
              <w:rPr>
                <w:b/>
                <w:sz w:val="24"/>
                <w:szCs w:val="24"/>
                <w:u w:val="single"/>
              </w:rPr>
            </w:pPr>
            <w:r>
              <w:rPr>
                <w:b/>
                <w:sz w:val="24"/>
                <w:szCs w:val="24"/>
                <w:u w:val="single"/>
              </w:rPr>
              <w:t>Social model approaches to interpreting disability</w:t>
            </w:r>
          </w:p>
        </w:tc>
      </w:tr>
      <w:tr w:rsidR="00D638DC" w14:paraId="6A1B243F" w14:textId="77777777" w:rsidTr="00D638DC">
        <w:tc>
          <w:tcPr>
            <w:tcW w:w="4508" w:type="dxa"/>
            <w:tcBorders>
              <w:top w:val="single" w:sz="4" w:space="0" w:color="auto"/>
              <w:left w:val="single" w:sz="4" w:space="0" w:color="auto"/>
              <w:bottom w:val="single" w:sz="4" w:space="0" w:color="auto"/>
              <w:right w:val="single" w:sz="4" w:space="0" w:color="auto"/>
            </w:tcBorders>
            <w:hideMark/>
          </w:tcPr>
          <w:p w14:paraId="00AB54DB" w14:textId="77777777" w:rsidR="00D638DC" w:rsidRDefault="00D638DC">
            <w:pPr>
              <w:rPr>
                <w:sz w:val="24"/>
                <w:szCs w:val="24"/>
              </w:rPr>
            </w:pPr>
            <w:r>
              <w:rPr>
                <w:sz w:val="24"/>
                <w:szCs w:val="24"/>
              </w:rPr>
              <w:t>Reductive – emphasises (and sometimes exaggerates) differences over all else</w:t>
            </w:r>
          </w:p>
        </w:tc>
        <w:tc>
          <w:tcPr>
            <w:tcW w:w="4508" w:type="dxa"/>
            <w:tcBorders>
              <w:top w:val="single" w:sz="4" w:space="0" w:color="auto"/>
              <w:left w:val="single" w:sz="4" w:space="0" w:color="auto"/>
              <w:bottom w:val="single" w:sz="4" w:space="0" w:color="auto"/>
              <w:right w:val="single" w:sz="4" w:space="0" w:color="auto"/>
            </w:tcBorders>
            <w:hideMark/>
          </w:tcPr>
          <w:p w14:paraId="47E2FD45" w14:textId="77777777" w:rsidR="00D638DC" w:rsidRDefault="00D638DC">
            <w:pPr>
              <w:rPr>
                <w:sz w:val="24"/>
                <w:szCs w:val="24"/>
              </w:rPr>
            </w:pPr>
            <w:r>
              <w:rPr>
                <w:sz w:val="24"/>
                <w:szCs w:val="24"/>
              </w:rPr>
              <w:t xml:space="preserve">Recognises complex, full and rounded lives </w:t>
            </w:r>
          </w:p>
        </w:tc>
      </w:tr>
      <w:tr w:rsidR="00D638DC" w14:paraId="7E628262" w14:textId="77777777" w:rsidTr="00D638DC">
        <w:tc>
          <w:tcPr>
            <w:tcW w:w="4508" w:type="dxa"/>
            <w:tcBorders>
              <w:top w:val="single" w:sz="4" w:space="0" w:color="auto"/>
              <w:left w:val="single" w:sz="4" w:space="0" w:color="auto"/>
              <w:bottom w:val="single" w:sz="4" w:space="0" w:color="auto"/>
              <w:right w:val="single" w:sz="4" w:space="0" w:color="auto"/>
            </w:tcBorders>
            <w:hideMark/>
          </w:tcPr>
          <w:p w14:paraId="2E4A6492" w14:textId="77777777" w:rsidR="00D638DC" w:rsidRDefault="00D638DC">
            <w:pPr>
              <w:rPr>
                <w:sz w:val="24"/>
                <w:szCs w:val="24"/>
              </w:rPr>
            </w:pPr>
            <w:r>
              <w:rPr>
                <w:sz w:val="24"/>
                <w:szCs w:val="24"/>
              </w:rPr>
              <w:t>Normative – upholds body/mind norms that imply differences are deviant, undesirable, less than fully human</w:t>
            </w:r>
          </w:p>
        </w:tc>
        <w:tc>
          <w:tcPr>
            <w:tcW w:w="4508" w:type="dxa"/>
            <w:tcBorders>
              <w:top w:val="single" w:sz="4" w:space="0" w:color="auto"/>
              <w:left w:val="single" w:sz="4" w:space="0" w:color="auto"/>
              <w:bottom w:val="single" w:sz="4" w:space="0" w:color="auto"/>
              <w:right w:val="single" w:sz="4" w:space="0" w:color="auto"/>
            </w:tcBorders>
            <w:hideMark/>
          </w:tcPr>
          <w:p w14:paraId="77010D27" w14:textId="77777777" w:rsidR="00D638DC" w:rsidRDefault="00D638DC">
            <w:pPr>
              <w:rPr>
                <w:sz w:val="24"/>
                <w:szCs w:val="24"/>
              </w:rPr>
            </w:pPr>
            <w:r>
              <w:rPr>
                <w:sz w:val="24"/>
                <w:szCs w:val="24"/>
              </w:rPr>
              <w:t xml:space="preserve">Challenges normative ideals by presenting diverse bodies, minds, experiences as part and parcel of humankind </w:t>
            </w:r>
          </w:p>
        </w:tc>
      </w:tr>
      <w:tr w:rsidR="00D638DC" w14:paraId="6FA3EBA9" w14:textId="77777777" w:rsidTr="00D638DC">
        <w:tc>
          <w:tcPr>
            <w:tcW w:w="4508" w:type="dxa"/>
            <w:tcBorders>
              <w:top w:val="single" w:sz="4" w:space="0" w:color="auto"/>
              <w:left w:val="single" w:sz="4" w:space="0" w:color="auto"/>
              <w:bottom w:val="single" w:sz="4" w:space="0" w:color="auto"/>
              <w:right w:val="single" w:sz="4" w:space="0" w:color="auto"/>
            </w:tcBorders>
            <w:hideMark/>
          </w:tcPr>
          <w:p w14:paraId="2430D520" w14:textId="77777777" w:rsidR="00D638DC" w:rsidRDefault="00D638DC">
            <w:pPr>
              <w:rPr>
                <w:sz w:val="24"/>
                <w:szCs w:val="24"/>
              </w:rPr>
            </w:pPr>
            <w:r>
              <w:rPr>
                <w:sz w:val="24"/>
                <w:szCs w:val="24"/>
              </w:rPr>
              <w:t>Uncritically celebrates and assumes medical intervention – a fix or cure – is necessary, desirable</w:t>
            </w:r>
          </w:p>
        </w:tc>
        <w:tc>
          <w:tcPr>
            <w:tcW w:w="4508" w:type="dxa"/>
            <w:tcBorders>
              <w:top w:val="single" w:sz="4" w:space="0" w:color="auto"/>
              <w:left w:val="single" w:sz="4" w:space="0" w:color="auto"/>
              <w:bottom w:val="single" w:sz="4" w:space="0" w:color="auto"/>
              <w:right w:val="single" w:sz="4" w:space="0" w:color="auto"/>
            </w:tcBorders>
            <w:hideMark/>
          </w:tcPr>
          <w:p w14:paraId="006CF948" w14:textId="77777777" w:rsidR="00D638DC" w:rsidRDefault="00D638DC">
            <w:pPr>
              <w:rPr>
                <w:sz w:val="24"/>
                <w:szCs w:val="24"/>
              </w:rPr>
            </w:pPr>
            <w:r>
              <w:rPr>
                <w:sz w:val="24"/>
                <w:szCs w:val="24"/>
              </w:rPr>
              <w:t>Acknowledges there are very different responses to medical intervention – in some contexts, medical intervention is wholly rejected (for example where the individual rejects the idea of difference as deficit - there is nothing to fix!)</w:t>
            </w:r>
          </w:p>
        </w:tc>
      </w:tr>
      <w:tr w:rsidR="00D638DC" w14:paraId="7C79F1EF" w14:textId="77777777" w:rsidTr="00D638DC">
        <w:tc>
          <w:tcPr>
            <w:tcW w:w="4508" w:type="dxa"/>
            <w:tcBorders>
              <w:top w:val="single" w:sz="4" w:space="0" w:color="auto"/>
              <w:left w:val="single" w:sz="4" w:space="0" w:color="auto"/>
              <w:bottom w:val="single" w:sz="4" w:space="0" w:color="auto"/>
              <w:right w:val="single" w:sz="4" w:space="0" w:color="auto"/>
            </w:tcBorders>
            <w:hideMark/>
          </w:tcPr>
          <w:p w14:paraId="7E94AE8C" w14:textId="77777777" w:rsidR="00D638DC" w:rsidRDefault="00D638DC">
            <w:pPr>
              <w:rPr>
                <w:sz w:val="24"/>
                <w:szCs w:val="24"/>
              </w:rPr>
            </w:pPr>
            <w:r>
              <w:rPr>
                <w:sz w:val="24"/>
                <w:szCs w:val="24"/>
              </w:rPr>
              <w:t>Encourages inappropriate staring that reflects many disabled people’s daily lived experience – disability is presented as a curiosity for the non-disabled gaze</w:t>
            </w:r>
          </w:p>
        </w:tc>
        <w:tc>
          <w:tcPr>
            <w:tcW w:w="4508" w:type="dxa"/>
            <w:tcBorders>
              <w:top w:val="single" w:sz="4" w:space="0" w:color="auto"/>
              <w:left w:val="single" w:sz="4" w:space="0" w:color="auto"/>
              <w:bottom w:val="single" w:sz="4" w:space="0" w:color="auto"/>
              <w:right w:val="single" w:sz="4" w:space="0" w:color="auto"/>
            </w:tcBorders>
            <w:hideMark/>
          </w:tcPr>
          <w:p w14:paraId="28F93BDA" w14:textId="77777777" w:rsidR="00D638DC" w:rsidRDefault="00D638DC">
            <w:pPr>
              <w:rPr>
                <w:sz w:val="24"/>
                <w:szCs w:val="24"/>
              </w:rPr>
            </w:pPr>
            <w:r>
              <w:rPr>
                <w:sz w:val="24"/>
                <w:szCs w:val="24"/>
              </w:rPr>
              <w:t xml:space="preserve">Encourages respectful looking – fosters empathy, understanding, respect, dignity </w:t>
            </w:r>
          </w:p>
        </w:tc>
      </w:tr>
      <w:tr w:rsidR="00D638DC" w14:paraId="3E4E01EA" w14:textId="77777777" w:rsidTr="00D638DC">
        <w:tc>
          <w:tcPr>
            <w:tcW w:w="4508" w:type="dxa"/>
            <w:tcBorders>
              <w:top w:val="single" w:sz="4" w:space="0" w:color="auto"/>
              <w:left w:val="single" w:sz="4" w:space="0" w:color="auto"/>
              <w:bottom w:val="single" w:sz="4" w:space="0" w:color="auto"/>
              <w:right w:val="single" w:sz="4" w:space="0" w:color="auto"/>
            </w:tcBorders>
            <w:hideMark/>
          </w:tcPr>
          <w:p w14:paraId="6D43528F" w14:textId="77777777" w:rsidR="00D638DC" w:rsidRDefault="00D638DC">
            <w:pPr>
              <w:rPr>
                <w:sz w:val="24"/>
                <w:szCs w:val="24"/>
              </w:rPr>
            </w:pPr>
            <w:r>
              <w:rPr>
                <w:sz w:val="24"/>
                <w:szCs w:val="24"/>
              </w:rPr>
              <w:t>Reinforces negative stereotypes – the disabled person as object of pity or charity</w:t>
            </w:r>
          </w:p>
        </w:tc>
        <w:tc>
          <w:tcPr>
            <w:tcW w:w="4508" w:type="dxa"/>
            <w:tcBorders>
              <w:top w:val="single" w:sz="4" w:space="0" w:color="auto"/>
              <w:left w:val="single" w:sz="4" w:space="0" w:color="auto"/>
              <w:bottom w:val="single" w:sz="4" w:space="0" w:color="auto"/>
              <w:right w:val="single" w:sz="4" w:space="0" w:color="auto"/>
            </w:tcBorders>
            <w:hideMark/>
          </w:tcPr>
          <w:p w14:paraId="4AC33827" w14:textId="77777777" w:rsidR="00D638DC" w:rsidRDefault="00D638DC">
            <w:pPr>
              <w:rPr>
                <w:sz w:val="24"/>
                <w:szCs w:val="24"/>
              </w:rPr>
            </w:pPr>
            <w:r>
              <w:rPr>
                <w:sz w:val="24"/>
                <w:szCs w:val="24"/>
              </w:rPr>
              <w:t>Subverts stereotypes in ways that challenge deeply held negative views of disability</w:t>
            </w:r>
          </w:p>
        </w:tc>
      </w:tr>
      <w:tr w:rsidR="00D638DC" w14:paraId="09766C7C" w14:textId="77777777" w:rsidTr="00D638DC">
        <w:tc>
          <w:tcPr>
            <w:tcW w:w="4508" w:type="dxa"/>
            <w:tcBorders>
              <w:top w:val="single" w:sz="4" w:space="0" w:color="auto"/>
              <w:left w:val="single" w:sz="4" w:space="0" w:color="auto"/>
              <w:bottom w:val="single" w:sz="4" w:space="0" w:color="auto"/>
              <w:right w:val="single" w:sz="4" w:space="0" w:color="auto"/>
            </w:tcBorders>
          </w:tcPr>
          <w:p w14:paraId="51AC4E5D" w14:textId="77777777" w:rsidR="00D638DC" w:rsidRDefault="00D638DC">
            <w:pPr>
              <w:rPr>
                <w:sz w:val="24"/>
                <w:szCs w:val="24"/>
              </w:rPr>
            </w:pPr>
            <w:r>
              <w:rPr>
                <w:sz w:val="24"/>
                <w:szCs w:val="24"/>
              </w:rPr>
              <w:t>Presents some disabled people as heroic achievers who transcend or overcome their impairments – reflecting campaigns such as ‘see the ability not the disability’</w:t>
            </w:r>
          </w:p>
          <w:p w14:paraId="5A473640" w14:textId="77777777" w:rsidR="00D638DC" w:rsidRDefault="00D638DC">
            <w:pPr>
              <w:rPr>
                <w:sz w:val="24"/>
                <w:szCs w:val="24"/>
              </w:rPr>
            </w:pPr>
          </w:p>
        </w:tc>
        <w:tc>
          <w:tcPr>
            <w:tcW w:w="4508" w:type="dxa"/>
            <w:tcBorders>
              <w:top w:val="single" w:sz="4" w:space="0" w:color="auto"/>
              <w:left w:val="single" w:sz="4" w:space="0" w:color="auto"/>
              <w:bottom w:val="single" w:sz="4" w:space="0" w:color="auto"/>
              <w:right w:val="single" w:sz="4" w:space="0" w:color="auto"/>
            </w:tcBorders>
            <w:hideMark/>
          </w:tcPr>
          <w:p w14:paraId="78F927BD" w14:textId="77777777" w:rsidR="00D638DC" w:rsidRDefault="00D638DC">
            <w:pPr>
              <w:rPr>
                <w:sz w:val="24"/>
                <w:szCs w:val="24"/>
              </w:rPr>
            </w:pPr>
            <w:r>
              <w:rPr>
                <w:sz w:val="24"/>
                <w:szCs w:val="24"/>
              </w:rPr>
              <w:t xml:space="preserve">Acknowledges that people can be disabled </w:t>
            </w:r>
            <w:r>
              <w:rPr>
                <w:i/>
                <w:sz w:val="24"/>
                <w:szCs w:val="24"/>
              </w:rPr>
              <w:t>and</w:t>
            </w:r>
            <w:r>
              <w:rPr>
                <w:sz w:val="24"/>
                <w:szCs w:val="24"/>
              </w:rPr>
              <w:t xml:space="preserve"> highly achieving in all arenas.  Recognises that such achievements are not secured </w:t>
            </w:r>
            <w:r>
              <w:rPr>
                <w:i/>
                <w:sz w:val="24"/>
                <w:szCs w:val="24"/>
              </w:rPr>
              <w:t>despite</w:t>
            </w:r>
            <w:r>
              <w:rPr>
                <w:sz w:val="24"/>
                <w:szCs w:val="24"/>
              </w:rPr>
              <w:t xml:space="preserve"> an impairment or contingent upon an individual ‘overcoming’ their impairment. </w:t>
            </w:r>
          </w:p>
        </w:tc>
      </w:tr>
      <w:tr w:rsidR="00D638DC" w14:paraId="221713C4" w14:textId="77777777" w:rsidTr="00D638DC">
        <w:tc>
          <w:tcPr>
            <w:tcW w:w="4508" w:type="dxa"/>
            <w:tcBorders>
              <w:top w:val="single" w:sz="4" w:space="0" w:color="auto"/>
              <w:left w:val="single" w:sz="4" w:space="0" w:color="auto"/>
              <w:bottom w:val="single" w:sz="4" w:space="0" w:color="auto"/>
              <w:right w:val="single" w:sz="4" w:space="0" w:color="auto"/>
            </w:tcBorders>
            <w:hideMark/>
          </w:tcPr>
          <w:p w14:paraId="1F2C770A" w14:textId="77777777" w:rsidR="00D638DC" w:rsidRDefault="00D638DC">
            <w:pPr>
              <w:rPr>
                <w:sz w:val="24"/>
                <w:szCs w:val="24"/>
              </w:rPr>
            </w:pPr>
            <w:proofErr w:type="spellStart"/>
            <w:r>
              <w:rPr>
                <w:sz w:val="24"/>
                <w:szCs w:val="24"/>
              </w:rPr>
              <w:t>Pathologising</w:t>
            </w:r>
            <w:proofErr w:type="spellEnd"/>
            <w:r>
              <w:rPr>
                <w:sz w:val="24"/>
                <w:szCs w:val="24"/>
              </w:rPr>
              <w:t xml:space="preserve"> – Privileges the medical professional’s perspective (for example, defining impairment as either congenital or acquired)</w:t>
            </w:r>
          </w:p>
        </w:tc>
        <w:tc>
          <w:tcPr>
            <w:tcW w:w="4508" w:type="dxa"/>
            <w:tcBorders>
              <w:top w:val="single" w:sz="4" w:space="0" w:color="auto"/>
              <w:left w:val="single" w:sz="4" w:space="0" w:color="auto"/>
              <w:bottom w:val="single" w:sz="4" w:space="0" w:color="auto"/>
              <w:right w:val="single" w:sz="4" w:space="0" w:color="auto"/>
            </w:tcBorders>
            <w:hideMark/>
          </w:tcPr>
          <w:p w14:paraId="07DF71A2" w14:textId="77777777" w:rsidR="00D638DC" w:rsidRDefault="00D638DC">
            <w:pPr>
              <w:rPr>
                <w:sz w:val="24"/>
                <w:szCs w:val="24"/>
              </w:rPr>
            </w:pPr>
            <w:r>
              <w:rPr>
                <w:sz w:val="24"/>
                <w:szCs w:val="24"/>
              </w:rPr>
              <w:t>Privileges the individual’s lived experience – in their own words and expressions - in ways that reflect their humanity, complexity</w:t>
            </w:r>
          </w:p>
        </w:tc>
      </w:tr>
      <w:tr w:rsidR="00D638DC" w14:paraId="1C1201E7" w14:textId="77777777" w:rsidTr="00D638DC">
        <w:tc>
          <w:tcPr>
            <w:tcW w:w="4508" w:type="dxa"/>
            <w:tcBorders>
              <w:top w:val="single" w:sz="4" w:space="0" w:color="auto"/>
              <w:left w:val="single" w:sz="4" w:space="0" w:color="auto"/>
              <w:bottom w:val="single" w:sz="4" w:space="0" w:color="auto"/>
              <w:right w:val="single" w:sz="4" w:space="0" w:color="auto"/>
            </w:tcBorders>
            <w:hideMark/>
          </w:tcPr>
          <w:p w14:paraId="6A5E1DB8" w14:textId="77777777" w:rsidR="00D638DC" w:rsidRDefault="00D638DC">
            <w:pPr>
              <w:rPr>
                <w:sz w:val="24"/>
                <w:szCs w:val="24"/>
              </w:rPr>
            </w:pPr>
            <w:r>
              <w:rPr>
                <w:sz w:val="24"/>
                <w:szCs w:val="24"/>
              </w:rPr>
              <w:t xml:space="preserve">Suggests disability is the individual’s problem – a focus on what the person can’t do </w:t>
            </w:r>
          </w:p>
        </w:tc>
        <w:tc>
          <w:tcPr>
            <w:tcW w:w="4508" w:type="dxa"/>
            <w:tcBorders>
              <w:top w:val="single" w:sz="4" w:space="0" w:color="auto"/>
              <w:left w:val="single" w:sz="4" w:space="0" w:color="auto"/>
              <w:bottom w:val="single" w:sz="4" w:space="0" w:color="auto"/>
              <w:right w:val="single" w:sz="4" w:space="0" w:color="auto"/>
            </w:tcBorders>
            <w:hideMark/>
          </w:tcPr>
          <w:p w14:paraId="37A6FBAE" w14:textId="77777777" w:rsidR="00D638DC" w:rsidRDefault="00D638DC">
            <w:pPr>
              <w:rPr>
                <w:sz w:val="24"/>
                <w:szCs w:val="24"/>
              </w:rPr>
            </w:pPr>
            <w:r>
              <w:rPr>
                <w:sz w:val="24"/>
                <w:szCs w:val="24"/>
              </w:rPr>
              <w:t xml:space="preserve">Views disability as arising from barriers society imposes – draws attention to society’s inadequate response to difference and impairment.  </w:t>
            </w:r>
          </w:p>
        </w:tc>
      </w:tr>
      <w:tr w:rsidR="00D638DC" w14:paraId="441F9917" w14:textId="77777777" w:rsidTr="00D638DC">
        <w:tc>
          <w:tcPr>
            <w:tcW w:w="4508" w:type="dxa"/>
            <w:tcBorders>
              <w:top w:val="single" w:sz="4" w:space="0" w:color="auto"/>
              <w:left w:val="single" w:sz="4" w:space="0" w:color="auto"/>
              <w:bottom w:val="single" w:sz="4" w:space="0" w:color="auto"/>
              <w:right w:val="single" w:sz="4" w:space="0" w:color="auto"/>
            </w:tcBorders>
            <w:hideMark/>
          </w:tcPr>
          <w:p w14:paraId="79DFBD87" w14:textId="77777777" w:rsidR="00D638DC" w:rsidRDefault="00D638DC">
            <w:pPr>
              <w:rPr>
                <w:sz w:val="24"/>
                <w:szCs w:val="24"/>
              </w:rPr>
            </w:pPr>
            <w:r>
              <w:rPr>
                <w:sz w:val="24"/>
                <w:szCs w:val="24"/>
              </w:rPr>
              <w:t>Assumes disabled people as a homogenous group</w:t>
            </w:r>
          </w:p>
        </w:tc>
        <w:tc>
          <w:tcPr>
            <w:tcW w:w="4508" w:type="dxa"/>
            <w:tcBorders>
              <w:top w:val="single" w:sz="4" w:space="0" w:color="auto"/>
              <w:left w:val="single" w:sz="4" w:space="0" w:color="auto"/>
              <w:bottom w:val="single" w:sz="4" w:space="0" w:color="auto"/>
              <w:right w:val="single" w:sz="4" w:space="0" w:color="auto"/>
            </w:tcBorders>
            <w:hideMark/>
          </w:tcPr>
          <w:p w14:paraId="1776D03E" w14:textId="77777777" w:rsidR="00D638DC" w:rsidRDefault="00D638DC">
            <w:pPr>
              <w:rPr>
                <w:sz w:val="24"/>
                <w:szCs w:val="24"/>
              </w:rPr>
            </w:pPr>
            <w:r>
              <w:rPr>
                <w:sz w:val="24"/>
                <w:szCs w:val="24"/>
              </w:rPr>
              <w:t xml:space="preserve">Recognises a diversity of lives and experiences </w:t>
            </w:r>
          </w:p>
        </w:tc>
      </w:tr>
    </w:tbl>
    <w:p w14:paraId="56BFF252" w14:textId="443D0A71" w:rsidR="00AB6BF7" w:rsidRDefault="00D638DC">
      <w:r w:rsidDel="00D638DC">
        <w:t xml:space="preserve"> </w:t>
      </w:r>
    </w:p>
    <w:p w14:paraId="55BEE861" w14:textId="77777777" w:rsidR="00750283" w:rsidRDefault="00410725">
      <w:pPr>
        <w:pBdr>
          <w:bottom w:val="dotted" w:sz="24" w:space="1" w:color="auto"/>
        </w:pBdr>
      </w:pPr>
      <w:r>
        <w:t xml:space="preserve"> </w:t>
      </w:r>
    </w:p>
    <w:p w14:paraId="17E5C4DB" w14:textId="77777777" w:rsidR="00FC41B8" w:rsidRDefault="00FC41B8"/>
    <w:p w14:paraId="64BDC373" w14:textId="77777777" w:rsidR="00410725" w:rsidRDefault="00410725"/>
    <w:p w14:paraId="5EFFEDF7" w14:textId="77777777" w:rsidR="006E1674" w:rsidRDefault="00FC41B8">
      <w:r>
        <w:t>Research Centre for Museums and Galleries, University of Leicester</w:t>
      </w:r>
    </w:p>
    <w:p w14:paraId="1B58F8BF" w14:textId="77777777" w:rsidR="00FC41B8" w:rsidRDefault="00FC41B8"/>
    <w:p w14:paraId="3F4B6CF6" w14:textId="17FCFE8B" w:rsidR="00FC41B8" w:rsidRDefault="00FC41B8">
      <w:r>
        <w:t xml:space="preserve">Since 2000, the RCMG has been researching the presence/absence of disability in museum collections, displays and public programmes, working collaboratively with disabled activists, artists and campaigners – as well as museum practitioners – to develop ethical, respectful and inclusive ways of presenting </w:t>
      </w:r>
      <w:r w:rsidR="008B2EA9">
        <w:t>disability-related narratives and the lives of disabled people, past and present. These new narratives have been used to stimulate and shape public, media and professional debate around disability and to advance disability equality (RCMG 2017).</w:t>
      </w:r>
    </w:p>
    <w:p w14:paraId="42281D68" w14:textId="77777777" w:rsidR="008B2EA9" w:rsidRDefault="008B2EA9"/>
    <w:p w14:paraId="683ADC61" w14:textId="77777777" w:rsidR="00DA2386" w:rsidRDefault="00DA2386"/>
    <w:p w14:paraId="35255B11" w14:textId="77777777" w:rsidR="00DA2386" w:rsidRDefault="00DA2386">
      <w:r>
        <w:t>Wellcome Collection</w:t>
      </w:r>
    </w:p>
    <w:p w14:paraId="6D27624B" w14:textId="77777777" w:rsidR="00DA2386" w:rsidRDefault="00DA2386"/>
    <w:p w14:paraId="2F1A2192" w14:textId="6F63E2CC" w:rsidR="00DA2386" w:rsidRDefault="008B2EA9">
      <w:r>
        <w:t>Wellcome Collection</w:t>
      </w:r>
      <w:r w:rsidR="00954060">
        <w:t xml:space="preserve"> is a museum dedicated to challenging </w:t>
      </w:r>
      <w:r w:rsidR="00373EFD">
        <w:t>how</w:t>
      </w:r>
      <w:r w:rsidR="00954060">
        <w:t xml:space="preserve"> we all think and feel about health. </w:t>
      </w:r>
      <w:r>
        <w:t xml:space="preserve"> </w:t>
      </w:r>
      <w:r w:rsidR="00954060">
        <w:t xml:space="preserve">In 2018 it published its Strategic Direction for Access, Diversity and Inclusion. Setting out </w:t>
      </w:r>
      <w:r w:rsidR="00373EFD">
        <w:t>an ambition</w:t>
      </w:r>
      <w:r w:rsidR="00954060">
        <w:t xml:space="preserve"> to effect ‘significant change’ over the next five years</w:t>
      </w:r>
      <w:r w:rsidR="00FB7F9D">
        <w:t xml:space="preserve"> </w:t>
      </w:r>
      <w:r w:rsidR="00954060">
        <w:t xml:space="preserve">the </w:t>
      </w:r>
      <w:proofErr w:type="spellStart"/>
      <w:r w:rsidR="00954060">
        <w:t>organisation</w:t>
      </w:r>
      <w:proofErr w:type="spellEnd"/>
      <w:r w:rsidR="00954060">
        <w:t xml:space="preserve"> is committed to reducing barriers to access across </w:t>
      </w:r>
      <w:r w:rsidR="00FB7F9D">
        <w:t>its</w:t>
      </w:r>
      <w:r w:rsidR="00954060">
        <w:t xml:space="preserve"> entire offer. </w:t>
      </w:r>
      <w:r w:rsidR="00FB7F9D">
        <w:t>Plans include</w:t>
      </w:r>
      <w:r w:rsidR="00954060">
        <w:t xml:space="preserve"> making physical alterations to the building, embedding inclusive practice in work</w:t>
      </w:r>
      <w:r w:rsidR="00FB7F9D">
        <w:t xml:space="preserve">place processes and programmes, and reckoning with the </w:t>
      </w:r>
      <w:r w:rsidR="00373EFD">
        <w:t>significance</w:t>
      </w:r>
      <w:r w:rsidR="00FB7F9D">
        <w:t xml:space="preserve"> of a colonial-era collection. </w:t>
      </w:r>
    </w:p>
    <w:p w14:paraId="01F5D3AD" w14:textId="77777777" w:rsidR="00DA2386" w:rsidRDefault="00DA2386"/>
    <w:p w14:paraId="51873255" w14:textId="74C6777A" w:rsidR="00FC41B8" w:rsidRDefault="00DA2386">
      <w:r>
        <w:t xml:space="preserve">[Embracing an inclusive approach is an iterative process and both </w:t>
      </w:r>
      <w:proofErr w:type="spellStart"/>
      <w:r w:rsidR="00FB7F9D">
        <w:t>organi</w:t>
      </w:r>
      <w:r w:rsidR="00043A86">
        <w:t>s</w:t>
      </w:r>
      <w:r w:rsidR="00FB7F9D">
        <w:t>ation</w:t>
      </w:r>
      <w:r>
        <w:t>s</w:t>
      </w:r>
      <w:proofErr w:type="spellEnd"/>
      <w:r w:rsidR="00FB7F9D">
        <w:t xml:space="preserve"> </w:t>
      </w:r>
      <w:r>
        <w:t xml:space="preserve">are </w:t>
      </w:r>
      <w:r w:rsidR="00FB7F9D">
        <w:t>keen to exchan</w:t>
      </w:r>
      <w:r>
        <w:t xml:space="preserve">ge learning with other museums, </w:t>
      </w:r>
      <w:r w:rsidR="00FB7F9D">
        <w:t>galleries</w:t>
      </w:r>
      <w:r>
        <w:t xml:space="preserve"> and heritage sites</w:t>
      </w:r>
      <w:r w:rsidR="00FB7F9D">
        <w:t xml:space="preserve"> embarked on similar initiatives. </w:t>
      </w:r>
      <w:r>
        <w:t>Please send us your feedback.]</w:t>
      </w:r>
    </w:p>
    <w:p w14:paraId="6D2A5A01" w14:textId="77777777" w:rsidR="00FB7F9D" w:rsidRDefault="00FB7F9D">
      <w:pPr>
        <w:pBdr>
          <w:bottom w:val="dotted" w:sz="24" w:space="1" w:color="auto"/>
        </w:pBdr>
      </w:pPr>
    </w:p>
    <w:p w14:paraId="50E6066D" w14:textId="77777777" w:rsidR="00247F57" w:rsidRDefault="00247F57"/>
    <w:p w14:paraId="3F666C94" w14:textId="259D16ED" w:rsidR="00D638DC" w:rsidRPr="00D638DC" w:rsidRDefault="00D638DC">
      <w:pPr>
        <w:pBdr>
          <w:bottom w:val="dotted" w:sz="24" w:space="1" w:color="auto"/>
        </w:pBdr>
        <w:rPr>
          <w:b/>
          <w:bCs/>
          <w:lang w:val="en-GB"/>
        </w:rPr>
      </w:pPr>
      <w:r w:rsidRPr="00D638DC">
        <w:rPr>
          <w:b/>
          <w:bCs/>
          <w:lang w:val="en-GB"/>
        </w:rPr>
        <w:t>References</w:t>
      </w:r>
    </w:p>
    <w:p w14:paraId="232B21B0" w14:textId="77777777" w:rsidR="00D638DC" w:rsidRDefault="00D638DC">
      <w:pPr>
        <w:pBdr>
          <w:bottom w:val="dotted" w:sz="24" w:space="1" w:color="auto"/>
        </w:pBdr>
        <w:rPr>
          <w:lang w:val="en-GB"/>
        </w:rPr>
      </w:pPr>
    </w:p>
    <w:p w14:paraId="7482F930" w14:textId="5760445A" w:rsidR="00D638DC" w:rsidRDefault="00D638DC">
      <w:pPr>
        <w:pBdr>
          <w:bottom w:val="dotted" w:sz="24" w:space="1" w:color="auto"/>
        </w:pBdr>
        <w:rPr>
          <w:lang w:val="en-GB"/>
        </w:rPr>
      </w:pPr>
      <w:r w:rsidRPr="00D638DC">
        <w:rPr>
          <w:lang w:val="en-GB"/>
        </w:rPr>
        <w:t xml:space="preserve">Dodd, J., Sandell, R. and Garland-Thomson, R. (2010) </w:t>
      </w:r>
      <w:r w:rsidRPr="00D638DC">
        <w:rPr>
          <w:i/>
          <w:iCs/>
          <w:lang w:val="en-GB"/>
        </w:rPr>
        <w:t>Re-Presenting Disability: Activism and Agency in the Museum</w:t>
      </w:r>
      <w:r w:rsidRPr="00D638DC">
        <w:rPr>
          <w:lang w:val="en-GB"/>
        </w:rPr>
        <w:t>. London and New York: Routledge.</w:t>
      </w:r>
    </w:p>
    <w:p w14:paraId="64579427" w14:textId="77777777" w:rsidR="00D638DC" w:rsidRDefault="00D638DC">
      <w:pPr>
        <w:pBdr>
          <w:bottom w:val="dotted" w:sz="24" w:space="1" w:color="auto"/>
        </w:pBdr>
        <w:rPr>
          <w:lang w:val="en-GB"/>
        </w:rPr>
      </w:pPr>
    </w:p>
    <w:p w14:paraId="5E007301" w14:textId="790D0696" w:rsidR="00D638DC" w:rsidRDefault="00D638DC">
      <w:pPr>
        <w:pBdr>
          <w:bottom w:val="dotted" w:sz="24" w:space="1" w:color="auto"/>
        </w:pBdr>
        <w:rPr>
          <w:lang w:val="en-GB"/>
        </w:rPr>
      </w:pPr>
      <w:r w:rsidRPr="00D638DC">
        <w:rPr>
          <w:lang w:val="en-GB"/>
        </w:rPr>
        <w:t xml:space="preserve">RCMG (2017) </w:t>
      </w:r>
      <w:r w:rsidRPr="00D638DC">
        <w:rPr>
          <w:i/>
          <w:iCs/>
          <w:lang w:val="en-GB"/>
        </w:rPr>
        <w:t>Unruly Bodies</w:t>
      </w:r>
      <w:r w:rsidRPr="00D638DC">
        <w:rPr>
          <w:lang w:val="en-GB"/>
        </w:rPr>
        <w:t xml:space="preserve">, Online. Available at </w:t>
      </w:r>
      <w:hyperlink r:id="rId6" w:history="1">
        <w:r w:rsidRPr="006A712E">
          <w:rPr>
            <w:rStyle w:val="Hyperlink"/>
            <w:lang w:val="en-GB"/>
          </w:rPr>
          <w:t>https://www.unrulybodies.le.ac.uk/</w:t>
        </w:r>
      </w:hyperlink>
    </w:p>
    <w:p w14:paraId="5CA393DC" w14:textId="77777777" w:rsidR="00D638DC" w:rsidRDefault="00D638DC">
      <w:pPr>
        <w:pBdr>
          <w:bottom w:val="dotted" w:sz="24" w:space="1" w:color="auto"/>
        </w:pBdr>
        <w:rPr>
          <w:lang w:val="en-GB"/>
        </w:rPr>
      </w:pPr>
    </w:p>
    <w:p w14:paraId="755477D8" w14:textId="314F3CA9" w:rsidR="00D638DC" w:rsidRDefault="00D638DC">
      <w:pPr>
        <w:pBdr>
          <w:bottom w:val="dotted" w:sz="24" w:space="1" w:color="auto"/>
        </w:pBdr>
        <w:rPr>
          <w:lang w:val="en-GB"/>
        </w:rPr>
      </w:pPr>
      <w:r w:rsidRPr="00D638DC">
        <w:rPr>
          <w:lang w:val="en-GB"/>
        </w:rPr>
        <w:t xml:space="preserve">RCMG (2008) </w:t>
      </w:r>
      <w:r w:rsidRPr="00D638DC">
        <w:rPr>
          <w:i/>
          <w:iCs/>
          <w:lang w:val="en-GB"/>
        </w:rPr>
        <w:t>Rethinking Disability Representation in Museums and Galleries</w:t>
      </w:r>
      <w:r w:rsidRPr="00D638DC">
        <w:rPr>
          <w:lang w:val="en-GB"/>
        </w:rPr>
        <w:t xml:space="preserve">, Online. Available at </w:t>
      </w:r>
      <w:hyperlink r:id="rId7" w:history="1">
        <w:r w:rsidRPr="006A712E">
          <w:rPr>
            <w:rStyle w:val="Hyperlink"/>
            <w:lang w:val="en-GB"/>
          </w:rPr>
          <w:t>https://le.ac.uk/rcmg/research-archive/rethinking-disability-representation</w:t>
        </w:r>
      </w:hyperlink>
    </w:p>
    <w:p w14:paraId="1B07DCC9" w14:textId="77777777" w:rsidR="00D638DC" w:rsidRDefault="00D638DC">
      <w:pPr>
        <w:pBdr>
          <w:bottom w:val="dotted" w:sz="24" w:space="1" w:color="auto"/>
        </w:pBdr>
        <w:rPr>
          <w:lang w:val="en-GB"/>
        </w:rPr>
      </w:pPr>
    </w:p>
    <w:p w14:paraId="4C7EC350" w14:textId="7695741E" w:rsidR="00D638DC" w:rsidRDefault="00D638DC">
      <w:pPr>
        <w:pBdr>
          <w:bottom w:val="dotted" w:sz="24" w:space="1" w:color="auto"/>
        </w:pBdr>
        <w:rPr>
          <w:lang w:val="en-GB"/>
        </w:rPr>
      </w:pPr>
      <w:r w:rsidRPr="00D638DC">
        <w:rPr>
          <w:lang w:val="en-GB"/>
        </w:rPr>
        <w:t xml:space="preserve">RCMG (2004) </w:t>
      </w:r>
      <w:r w:rsidRPr="00D638DC">
        <w:rPr>
          <w:i/>
          <w:iCs/>
          <w:lang w:val="en-GB"/>
        </w:rPr>
        <w:t>Buried in the Footnotes</w:t>
      </w:r>
      <w:r w:rsidRPr="00D638DC">
        <w:rPr>
          <w:lang w:val="en-GB"/>
        </w:rPr>
        <w:t xml:space="preserve">, Online. Available at </w:t>
      </w:r>
      <w:hyperlink r:id="rId8" w:history="1">
        <w:r w:rsidRPr="006A712E">
          <w:rPr>
            <w:rStyle w:val="Hyperlink"/>
            <w:lang w:val="en-GB"/>
          </w:rPr>
          <w:t>https://le.ac.uk/rcmg/research-archive/buried-in-the-footnotes</w:t>
        </w:r>
      </w:hyperlink>
    </w:p>
    <w:p w14:paraId="03D535B7" w14:textId="77777777" w:rsidR="00D638DC" w:rsidRDefault="00D638DC">
      <w:pPr>
        <w:pBdr>
          <w:bottom w:val="dotted" w:sz="24" w:space="1" w:color="auto"/>
        </w:pBdr>
        <w:rPr>
          <w:lang w:val="en-GB"/>
        </w:rPr>
      </w:pPr>
    </w:p>
    <w:p w14:paraId="78EA265E" w14:textId="77777777" w:rsidR="00D638DC" w:rsidRDefault="00D638DC" w:rsidP="00D638DC">
      <w:pPr>
        <w:pBdr>
          <w:bottom w:val="dotted" w:sz="24" w:space="1" w:color="auto"/>
        </w:pBdr>
        <w:rPr>
          <w:lang w:val="en-GB"/>
        </w:rPr>
      </w:pPr>
      <w:r w:rsidRPr="00D638DC">
        <w:rPr>
          <w:lang w:val="en-GB"/>
        </w:rPr>
        <w:t xml:space="preserve">Sandell, R. (2019) ‘Disability: Museums and our understandings of difference’ in S. Knell (ed) </w:t>
      </w:r>
      <w:r w:rsidRPr="00D638DC">
        <w:rPr>
          <w:i/>
          <w:iCs/>
          <w:lang w:val="en-GB"/>
        </w:rPr>
        <w:t>The Contemporary Museum: shaping museums for the global now</w:t>
      </w:r>
      <w:r w:rsidRPr="00D638DC">
        <w:rPr>
          <w:lang w:val="en-GB"/>
        </w:rPr>
        <w:t>, London and New York: Routledge: 169-184.</w:t>
      </w:r>
    </w:p>
    <w:p w14:paraId="22B63007" w14:textId="77777777" w:rsidR="00D638DC" w:rsidRDefault="00D638DC" w:rsidP="00D638DC">
      <w:pPr>
        <w:pBdr>
          <w:bottom w:val="dotted" w:sz="24" w:space="1" w:color="auto"/>
        </w:pBdr>
        <w:rPr>
          <w:lang w:val="en-GB"/>
        </w:rPr>
      </w:pPr>
    </w:p>
    <w:p w14:paraId="3C9ED949" w14:textId="49CEEF11" w:rsidR="00D638DC" w:rsidRDefault="00D638DC" w:rsidP="00D638DC">
      <w:pPr>
        <w:pBdr>
          <w:bottom w:val="dotted" w:sz="24" w:space="1" w:color="auto"/>
        </w:pBdr>
      </w:pPr>
      <w:r w:rsidRPr="00D638DC">
        <w:rPr>
          <w:lang w:val="en-GB"/>
        </w:rPr>
        <w:lastRenderedPageBreak/>
        <w:t xml:space="preserve">Sandell, R. (2007) </w:t>
      </w:r>
      <w:r w:rsidRPr="00D638DC">
        <w:rPr>
          <w:i/>
          <w:iCs/>
          <w:lang w:val="en-GB"/>
        </w:rPr>
        <w:t>Museums, Prejudice and the Reframing of Difference</w:t>
      </w:r>
      <w:r w:rsidRPr="00D638DC">
        <w:rPr>
          <w:lang w:val="en-GB"/>
        </w:rPr>
        <w:t xml:space="preserve">, Routledge: London and New York. </w:t>
      </w:r>
    </w:p>
    <w:p w14:paraId="6191E1E9" w14:textId="77777777" w:rsidR="00247F57" w:rsidRDefault="00247F57">
      <w:pPr>
        <w:pBdr>
          <w:bottom w:val="dotted" w:sz="24" w:space="1" w:color="auto"/>
        </w:pBdr>
      </w:pPr>
    </w:p>
    <w:p w14:paraId="4FED3CC7" w14:textId="77777777" w:rsidR="00247F57" w:rsidRDefault="00247F57"/>
    <w:p w14:paraId="42F2C44B" w14:textId="25D757AD" w:rsidR="00247F57" w:rsidRPr="00247F57" w:rsidRDefault="00247F57">
      <w:pPr>
        <w:rPr>
          <w:b/>
        </w:rPr>
      </w:pPr>
      <w:r w:rsidRPr="00247F57">
        <w:rPr>
          <w:b/>
        </w:rPr>
        <w:t>Acknowledgements</w:t>
      </w:r>
    </w:p>
    <w:p w14:paraId="5333638F" w14:textId="462DE883" w:rsidR="00750283" w:rsidRDefault="00750283" w:rsidP="00FB7F9D"/>
    <w:p w14:paraId="22E088A8" w14:textId="72BF01EA" w:rsidR="00247F57" w:rsidRDefault="00247F57" w:rsidP="00FB7F9D">
      <w:r>
        <w:t>RCMG is grateful to the many disabled artists and activists who have helped to shape the research and practice, over a period of two decades</w:t>
      </w:r>
      <w:r w:rsidR="00AA1F95">
        <w:t>,</w:t>
      </w:r>
      <w:r>
        <w:t xml:space="preserve"> that underpins this guidance. Wellcome Collection and RCMG would like to give particular thanks here to Tony Heaton, Zoe Partington and Catherine Long who contributed to the development of this material. </w:t>
      </w:r>
    </w:p>
    <w:p w14:paraId="1173B5FF" w14:textId="77777777" w:rsidR="00670C86" w:rsidRDefault="00670C86" w:rsidP="00FB7F9D"/>
    <w:p w14:paraId="1F19A9EA" w14:textId="1595D3F0" w:rsidR="00670C86" w:rsidRDefault="00670C86" w:rsidP="00FB7F9D">
      <w:r>
        <w:t>RCMG/</w:t>
      </w:r>
      <w:proofErr w:type="spellStart"/>
      <w:r>
        <w:t>Wellcome</w:t>
      </w:r>
      <w:proofErr w:type="spellEnd"/>
      <w:r>
        <w:t xml:space="preserve"> Collection, </w:t>
      </w:r>
      <w:r w:rsidR="00AA1F95">
        <w:t>January 2020</w:t>
      </w:r>
    </w:p>
    <w:p w14:paraId="65D95026" w14:textId="77777777" w:rsidR="00247F57" w:rsidRDefault="00247F57" w:rsidP="00FB7F9D"/>
    <w:sectPr w:rsidR="00247F57" w:rsidSect="00832A1F">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D8368E" w14:textId="77777777" w:rsidR="009A5AAF" w:rsidRDefault="009A5AAF" w:rsidP="00247F57">
      <w:r>
        <w:separator/>
      </w:r>
    </w:p>
  </w:endnote>
  <w:endnote w:type="continuationSeparator" w:id="0">
    <w:p w14:paraId="10324AFE" w14:textId="77777777" w:rsidR="009A5AAF" w:rsidRDefault="009A5AAF" w:rsidP="00247F57">
      <w:r>
        <w:continuationSeparator/>
      </w:r>
    </w:p>
  </w:endnote>
  <w:endnote w:id="1">
    <w:p w14:paraId="13821921" w14:textId="55AFA84A" w:rsidR="00247F57" w:rsidRDefault="00247F57">
      <w:pPr>
        <w:pStyle w:val="EndnoteText"/>
      </w:pPr>
      <w:r>
        <w:rPr>
          <w:rStyle w:val="EndnoteReference"/>
        </w:rPr>
        <w:endnoteRef/>
      </w:r>
      <w:r>
        <w:t xml:space="preserve"> The basis for what has become the social model of disability was a document produced in 1976 by the Union of Physically Impaired against Segregation (UPIAS) entitled the Fundamental Principles of Disability. It stated ‘In our view it is society which disables physically impaired people. Disability is something imposed on top of our impairments, by the way we are unnecessarily isolated and excluded from full participation in society’.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0A3B23" w14:textId="77777777" w:rsidR="009A5AAF" w:rsidRDefault="009A5AAF" w:rsidP="00247F57">
      <w:r>
        <w:separator/>
      </w:r>
    </w:p>
  </w:footnote>
  <w:footnote w:type="continuationSeparator" w:id="0">
    <w:p w14:paraId="54B773FA" w14:textId="77777777" w:rsidR="009A5AAF" w:rsidRDefault="009A5AAF" w:rsidP="00247F5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1674"/>
    <w:rsid w:val="00043A86"/>
    <w:rsid w:val="00095642"/>
    <w:rsid w:val="00247F57"/>
    <w:rsid w:val="002A5910"/>
    <w:rsid w:val="002E4A5B"/>
    <w:rsid w:val="00373EFD"/>
    <w:rsid w:val="003E3174"/>
    <w:rsid w:val="00410725"/>
    <w:rsid w:val="004F5BEE"/>
    <w:rsid w:val="00670C86"/>
    <w:rsid w:val="006E1674"/>
    <w:rsid w:val="00750283"/>
    <w:rsid w:val="00832A1F"/>
    <w:rsid w:val="008B2EA9"/>
    <w:rsid w:val="00954060"/>
    <w:rsid w:val="009A5AAF"/>
    <w:rsid w:val="00AA1F95"/>
    <w:rsid w:val="00AB6BF7"/>
    <w:rsid w:val="00D638DC"/>
    <w:rsid w:val="00DA2386"/>
    <w:rsid w:val="00FB7F9D"/>
    <w:rsid w:val="00FC41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0BAA69C"/>
  <w14:defaultImageDpi w14:val="300"/>
  <w15:docId w15:val="{518E73B7-8248-4AAB-B090-513C8CB626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unhideWhenUsed/>
    <w:rsid w:val="00247F57"/>
  </w:style>
  <w:style w:type="character" w:customStyle="1" w:styleId="EndnoteTextChar">
    <w:name w:val="Endnote Text Char"/>
    <w:basedOn w:val="DefaultParagraphFont"/>
    <w:link w:val="EndnoteText"/>
    <w:uiPriority w:val="99"/>
    <w:rsid w:val="00247F57"/>
  </w:style>
  <w:style w:type="character" w:styleId="EndnoteReference">
    <w:name w:val="endnote reference"/>
    <w:basedOn w:val="DefaultParagraphFont"/>
    <w:uiPriority w:val="99"/>
    <w:unhideWhenUsed/>
    <w:rsid w:val="00247F57"/>
    <w:rPr>
      <w:vertAlign w:val="superscript"/>
    </w:rPr>
  </w:style>
  <w:style w:type="character" w:styleId="CommentReference">
    <w:name w:val="annotation reference"/>
    <w:basedOn w:val="DefaultParagraphFont"/>
    <w:uiPriority w:val="99"/>
    <w:semiHidden/>
    <w:unhideWhenUsed/>
    <w:rsid w:val="00AA1F95"/>
    <w:rPr>
      <w:sz w:val="16"/>
      <w:szCs w:val="16"/>
    </w:rPr>
  </w:style>
  <w:style w:type="paragraph" w:styleId="CommentText">
    <w:name w:val="annotation text"/>
    <w:basedOn w:val="Normal"/>
    <w:link w:val="CommentTextChar"/>
    <w:uiPriority w:val="99"/>
    <w:semiHidden/>
    <w:unhideWhenUsed/>
    <w:rsid w:val="00AA1F95"/>
    <w:rPr>
      <w:sz w:val="20"/>
      <w:szCs w:val="20"/>
    </w:rPr>
  </w:style>
  <w:style w:type="character" w:customStyle="1" w:styleId="CommentTextChar">
    <w:name w:val="Comment Text Char"/>
    <w:basedOn w:val="DefaultParagraphFont"/>
    <w:link w:val="CommentText"/>
    <w:uiPriority w:val="99"/>
    <w:semiHidden/>
    <w:rsid w:val="00AA1F95"/>
    <w:rPr>
      <w:sz w:val="20"/>
      <w:szCs w:val="20"/>
    </w:rPr>
  </w:style>
  <w:style w:type="paragraph" w:styleId="CommentSubject">
    <w:name w:val="annotation subject"/>
    <w:basedOn w:val="CommentText"/>
    <w:next w:val="CommentText"/>
    <w:link w:val="CommentSubjectChar"/>
    <w:uiPriority w:val="99"/>
    <w:semiHidden/>
    <w:unhideWhenUsed/>
    <w:rsid w:val="00AA1F95"/>
    <w:rPr>
      <w:b/>
      <w:bCs/>
    </w:rPr>
  </w:style>
  <w:style w:type="character" w:customStyle="1" w:styleId="CommentSubjectChar">
    <w:name w:val="Comment Subject Char"/>
    <w:basedOn w:val="CommentTextChar"/>
    <w:link w:val="CommentSubject"/>
    <w:uiPriority w:val="99"/>
    <w:semiHidden/>
    <w:rsid w:val="00AA1F95"/>
    <w:rPr>
      <w:b/>
      <w:bCs/>
      <w:sz w:val="20"/>
      <w:szCs w:val="20"/>
    </w:rPr>
  </w:style>
  <w:style w:type="paragraph" w:styleId="BalloonText">
    <w:name w:val="Balloon Text"/>
    <w:basedOn w:val="Normal"/>
    <w:link w:val="BalloonTextChar"/>
    <w:uiPriority w:val="99"/>
    <w:semiHidden/>
    <w:unhideWhenUsed/>
    <w:rsid w:val="00AA1F9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1F95"/>
    <w:rPr>
      <w:rFonts w:ascii="Segoe UI" w:hAnsi="Segoe UI" w:cs="Segoe UI"/>
      <w:sz w:val="18"/>
      <w:szCs w:val="18"/>
    </w:rPr>
  </w:style>
  <w:style w:type="table" w:styleId="TableGrid">
    <w:name w:val="Table Grid"/>
    <w:basedOn w:val="TableNormal"/>
    <w:uiPriority w:val="39"/>
    <w:rsid w:val="00D638DC"/>
    <w:rPr>
      <w:rFonts w:eastAsiaTheme="minorHAnsi"/>
      <w:sz w:val="22"/>
      <w:szCs w:val="22"/>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638DC"/>
    <w:rPr>
      <w:color w:val="0000FF" w:themeColor="hyperlink"/>
      <w:u w:val="single"/>
    </w:rPr>
  </w:style>
  <w:style w:type="character" w:styleId="UnresolvedMention">
    <w:name w:val="Unresolved Mention"/>
    <w:basedOn w:val="DefaultParagraphFont"/>
    <w:uiPriority w:val="99"/>
    <w:semiHidden/>
    <w:unhideWhenUsed/>
    <w:rsid w:val="00D638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8595259">
      <w:bodyDiv w:val="1"/>
      <w:marLeft w:val="0"/>
      <w:marRight w:val="0"/>
      <w:marTop w:val="0"/>
      <w:marBottom w:val="0"/>
      <w:divBdr>
        <w:top w:val="none" w:sz="0" w:space="0" w:color="auto"/>
        <w:left w:val="none" w:sz="0" w:space="0" w:color="auto"/>
        <w:bottom w:val="none" w:sz="0" w:space="0" w:color="auto"/>
        <w:right w:val="none" w:sz="0" w:space="0" w:color="auto"/>
      </w:divBdr>
    </w:div>
    <w:div w:id="128345807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ac.uk/rcmg/research-archive/buried-in-the-footnotes" TargetMode="External"/><Relationship Id="rId13"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hyperlink" Target="https://le.ac.uk/rcmg/research-archive/rethinking-disability-representation" TargetMode="External"/><Relationship Id="rId12"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unrulybodies.le.ac.uk/" TargetMode="External"/><Relationship Id="rId11" Type="http://schemas.openxmlformats.org/officeDocument/2006/relationships/customXml" Target="../customXml/item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Asiakirja" ma:contentTypeID="0x010100882EE59FF55D0D448F9C098B3EFB1E1A" ma:contentTypeVersion="10" ma:contentTypeDescription="Luo uusi asiakirja." ma:contentTypeScope="" ma:versionID="827c72fb2e95c8dc0b3fb29a2211927e">
  <xsd:schema xmlns:xsd="http://www.w3.org/2001/XMLSchema" xmlns:xs="http://www.w3.org/2001/XMLSchema" xmlns:p="http://schemas.microsoft.com/office/2006/metadata/properties" xmlns:ns2="52fd1b39-61b7-4fcc-b001-81ba11530799" targetNamespace="http://schemas.microsoft.com/office/2006/metadata/properties" ma:root="true" ma:fieldsID="40df77e973887e80a18cdb834ed28124" ns2:_="">
    <xsd:import namespace="52fd1b39-61b7-4fcc-b001-81ba1153079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fd1b39-61b7-4fcc-b001-81ba115307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6FD73CE-C1A7-4BE8-B781-8CBEBD6F7303}"/>
</file>

<file path=customXml/itemProps2.xml><?xml version="1.0" encoding="utf-8"?>
<ds:datastoreItem xmlns:ds="http://schemas.openxmlformats.org/officeDocument/2006/customXml" ds:itemID="{A038A051-6B64-4E67-B80E-365D8C92273A}"/>
</file>

<file path=customXml/itemProps3.xml><?xml version="1.0" encoding="utf-8"?>
<ds:datastoreItem xmlns:ds="http://schemas.openxmlformats.org/officeDocument/2006/customXml" ds:itemID="{440FBE7A-B6E0-4184-B87F-955F1E678D01}"/>
</file>

<file path=docProps/app.xml><?xml version="1.0" encoding="utf-8"?>
<Properties xmlns="http://schemas.openxmlformats.org/officeDocument/2006/extended-properties" xmlns:vt="http://schemas.openxmlformats.org/officeDocument/2006/docPropsVTypes">
  <Template>Normal</Template>
  <TotalTime>0</TotalTime>
  <Pages>4</Pages>
  <Words>1188</Words>
  <Characters>6778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Forde</dc:creator>
  <cp:keywords/>
  <dc:description/>
  <cp:lastModifiedBy>Cesare</cp:lastModifiedBy>
  <cp:revision>2</cp:revision>
  <dcterms:created xsi:type="dcterms:W3CDTF">2020-05-01T12:44:00Z</dcterms:created>
  <dcterms:modified xsi:type="dcterms:W3CDTF">2020-05-01T12:44:00Z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0x010100882EE59FF55D0D448F9C098B3EFB1E1A</vt:lpwstr>
  </property>
</Properties>
</file>